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89A" w:rsidRPr="00591BA6" w:rsidRDefault="00EA089A" w:rsidP="00EA089A">
      <w:pPr>
        <w:spacing w:before="120" w:after="240"/>
        <w:rPr>
          <w:sz w:val="20"/>
        </w:rPr>
      </w:pPr>
      <w:r w:rsidRPr="00591BA6">
        <w:rPr>
          <w:sz w:val="20"/>
        </w:rPr>
        <w:t>Département de la Loire</w:t>
      </w:r>
    </w:p>
    <w:p w:rsidR="00EA089A" w:rsidRPr="00591BA6" w:rsidRDefault="00EA089A" w:rsidP="00EA089A">
      <w:pPr>
        <w:spacing w:before="120" w:after="240"/>
        <w:rPr>
          <w:sz w:val="20"/>
        </w:rPr>
      </w:pPr>
      <w:r w:rsidRPr="00591BA6">
        <w:rPr>
          <w:sz w:val="20"/>
        </w:rPr>
        <w:t>Arrondissement de Montbrison</w:t>
      </w:r>
    </w:p>
    <w:p w:rsidR="00EA089A" w:rsidRPr="00591BA6" w:rsidRDefault="00EA089A" w:rsidP="00EA089A">
      <w:pPr>
        <w:spacing w:before="120" w:after="240"/>
        <w:rPr>
          <w:sz w:val="20"/>
        </w:rPr>
      </w:pPr>
      <w:r w:rsidRPr="00591BA6">
        <w:rPr>
          <w:sz w:val="20"/>
        </w:rPr>
        <w:t>Nombre de conseillers élus : 19</w:t>
      </w:r>
    </w:p>
    <w:p w:rsidR="00EA089A" w:rsidRPr="00591BA6" w:rsidRDefault="00EA089A" w:rsidP="00EA089A">
      <w:pPr>
        <w:spacing w:before="120" w:after="240"/>
        <w:rPr>
          <w:sz w:val="20"/>
        </w:rPr>
      </w:pPr>
      <w:r w:rsidRPr="00591BA6">
        <w:rPr>
          <w:sz w:val="20"/>
        </w:rPr>
        <w:t xml:space="preserve">Nombre de conseillers présents : </w:t>
      </w:r>
      <w:r w:rsidR="002F3A96">
        <w:rPr>
          <w:sz w:val="20"/>
        </w:rPr>
        <w:t>12</w:t>
      </w:r>
    </w:p>
    <w:p w:rsidR="00EA089A" w:rsidRDefault="00EA089A" w:rsidP="00EA089A">
      <w:pPr>
        <w:spacing w:before="120" w:after="240"/>
        <w:rPr>
          <w:sz w:val="20"/>
        </w:rPr>
      </w:pPr>
      <w:r w:rsidRPr="00591BA6">
        <w:rPr>
          <w:sz w:val="20"/>
        </w:rPr>
        <w:t xml:space="preserve">Nombre de conseillers représentés : </w:t>
      </w:r>
      <w:r w:rsidR="00DC71B3">
        <w:rPr>
          <w:sz w:val="20"/>
        </w:rPr>
        <w:t>0</w:t>
      </w:r>
    </w:p>
    <w:p w:rsidR="005F7CA7" w:rsidRDefault="005F7CA7" w:rsidP="005F7CA7">
      <w:pPr>
        <w:spacing w:after="60"/>
        <w:jc w:val="center"/>
        <w:rPr>
          <w:b/>
          <w:sz w:val="28"/>
        </w:rPr>
      </w:pPr>
      <w:r>
        <w:rPr>
          <w:b/>
          <w:sz w:val="28"/>
        </w:rPr>
        <w:t>COMMUNE DE SAINT BONNET LES OULES</w:t>
      </w:r>
    </w:p>
    <w:p w:rsidR="005F7CA7" w:rsidRDefault="005F7CA7" w:rsidP="005F7CA7">
      <w:pPr>
        <w:spacing w:after="100"/>
        <w:ind w:left="708"/>
      </w:pPr>
      <w:r>
        <w:t xml:space="preserve">        CONSEIL MUNICIPAL DU </w:t>
      </w:r>
      <w:r w:rsidR="00304526">
        <w:t>10 MARS 2020</w:t>
      </w:r>
    </w:p>
    <w:p w:rsidR="00697E20" w:rsidRDefault="005F7CA7" w:rsidP="00697E20">
      <w:pPr>
        <w:spacing w:after="0"/>
        <w:jc w:val="both"/>
        <w:rPr>
          <w:sz w:val="20"/>
        </w:rPr>
      </w:pPr>
      <w:r>
        <w:rPr>
          <w:sz w:val="20"/>
        </w:rPr>
        <w:t xml:space="preserve">Guy FRANÇON Cassandre JANVIER </w:t>
      </w:r>
      <w:r w:rsidR="00697E20">
        <w:rPr>
          <w:sz w:val="20"/>
        </w:rPr>
        <w:t>Antoine ROBERT</w:t>
      </w:r>
      <w:r w:rsidR="00697E20" w:rsidRPr="00697E20">
        <w:rPr>
          <w:sz w:val="20"/>
        </w:rPr>
        <w:t xml:space="preserve"> </w:t>
      </w:r>
      <w:r w:rsidR="00697E20">
        <w:rPr>
          <w:sz w:val="20"/>
        </w:rPr>
        <w:t>Dominique MANGEL</w:t>
      </w:r>
      <w:r w:rsidR="00697E20" w:rsidRPr="0019389F">
        <w:rPr>
          <w:sz w:val="20"/>
        </w:rPr>
        <w:t xml:space="preserve"> </w:t>
      </w:r>
      <w:r>
        <w:rPr>
          <w:sz w:val="20"/>
        </w:rPr>
        <w:t>Jean Claude MAZUEL Guy TISSEUR</w:t>
      </w:r>
      <w:r w:rsidRPr="00F657CE">
        <w:rPr>
          <w:sz w:val="20"/>
        </w:rPr>
        <w:t xml:space="preserve"> </w:t>
      </w:r>
      <w:r>
        <w:rPr>
          <w:sz w:val="20"/>
        </w:rPr>
        <w:t>Huguette BADAR Dominique JAY</w:t>
      </w:r>
      <w:r w:rsidRPr="00AA4D61">
        <w:rPr>
          <w:sz w:val="20"/>
        </w:rPr>
        <w:t xml:space="preserve"> </w:t>
      </w:r>
      <w:r>
        <w:rPr>
          <w:sz w:val="20"/>
        </w:rPr>
        <w:t>Albert RAMBAUD Christelle PETIT</w:t>
      </w:r>
      <w:r w:rsidRPr="00D148BC">
        <w:rPr>
          <w:sz w:val="20"/>
        </w:rPr>
        <w:t xml:space="preserve"> </w:t>
      </w:r>
      <w:r>
        <w:rPr>
          <w:sz w:val="20"/>
        </w:rPr>
        <w:t>Yolande LAROUX</w:t>
      </w:r>
      <w:r w:rsidRPr="00D148BC">
        <w:rPr>
          <w:sz w:val="20"/>
        </w:rPr>
        <w:t xml:space="preserve"> </w:t>
      </w:r>
      <w:r w:rsidR="00697E20">
        <w:rPr>
          <w:sz w:val="20"/>
        </w:rPr>
        <w:t>Laurent PERES</w:t>
      </w:r>
    </w:p>
    <w:p w:rsidR="00697E20" w:rsidRDefault="005F7CA7" w:rsidP="005F7CA7">
      <w:pPr>
        <w:spacing w:after="0"/>
        <w:jc w:val="both"/>
        <w:rPr>
          <w:sz w:val="20"/>
        </w:rPr>
      </w:pPr>
      <w:r>
        <w:rPr>
          <w:sz w:val="20"/>
        </w:rPr>
        <w:t>Absents</w:t>
      </w:r>
      <w:r w:rsidR="0019389F">
        <w:rPr>
          <w:sz w:val="20"/>
        </w:rPr>
        <w:t xml:space="preserve"> </w:t>
      </w:r>
      <w:r>
        <w:rPr>
          <w:sz w:val="20"/>
        </w:rPr>
        <w:t>:</w:t>
      </w:r>
      <w:r w:rsidR="00697E20" w:rsidRPr="00697E20">
        <w:rPr>
          <w:sz w:val="20"/>
        </w:rPr>
        <w:t xml:space="preserve"> </w:t>
      </w:r>
      <w:r w:rsidR="00697E20">
        <w:rPr>
          <w:sz w:val="20"/>
        </w:rPr>
        <w:t>Laurent JOONNEKINDT</w:t>
      </w:r>
      <w:r w:rsidR="00697E20" w:rsidRPr="0019389F">
        <w:rPr>
          <w:sz w:val="20"/>
        </w:rPr>
        <w:t xml:space="preserve"> </w:t>
      </w:r>
      <w:r w:rsidR="00DC71B3">
        <w:rPr>
          <w:sz w:val="20"/>
        </w:rPr>
        <w:t xml:space="preserve">Bernadette de </w:t>
      </w:r>
      <w:r w:rsidR="00697E20">
        <w:rPr>
          <w:sz w:val="20"/>
        </w:rPr>
        <w:t>LENGAIGNE</w:t>
      </w:r>
      <w:r>
        <w:rPr>
          <w:sz w:val="20"/>
        </w:rPr>
        <w:t xml:space="preserve"> </w:t>
      </w:r>
      <w:r w:rsidR="00697E20">
        <w:rPr>
          <w:sz w:val="20"/>
        </w:rPr>
        <w:t xml:space="preserve">Brigitte FERRET </w:t>
      </w:r>
      <w:r>
        <w:rPr>
          <w:sz w:val="20"/>
        </w:rPr>
        <w:t>Estelle RIVAL Christian CHAPELLON</w:t>
      </w:r>
      <w:r w:rsidR="002F3A96" w:rsidRPr="002F3A96">
        <w:rPr>
          <w:sz w:val="20"/>
        </w:rPr>
        <w:t xml:space="preserve"> </w:t>
      </w:r>
      <w:r w:rsidR="00697E20">
        <w:rPr>
          <w:sz w:val="20"/>
        </w:rPr>
        <w:t>Martine AVERNA</w:t>
      </w:r>
      <w:r w:rsidR="00DC71B3">
        <w:rPr>
          <w:sz w:val="20"/>
        </w:rPr>
        <w:t xml:space="preserve"> Gilles BERCET</w:t>
      </w:r>
    </w:p>
    <w:p w:rsidR="005F7CA7" w:rsidRDefault="005F7CA7" w:rsidP="005F7CA7">
      <w:pPr>
        <w:spacing w:after="0"/>
        <w:jc w:val="both"/>
        <w:rPr>
          <w:rFonts w:ascii="Arial" w:eastAsia="Times New Roman" w:hAnsi="Arial" w:cs="Arial"/>
          <w:i/>
          <w:color w:val="000000" w:themeColor="text1"/>
          <w:sz w:val="20"/>
          <w:szCs w:val="20"/>
          <w:u w:val="single"/>
          <w:lang w:eastAsia="fr-FR"/>
        </w:rPr>
      </w:pPr>
      <w:r>
        <w:rPr>
          <w:sz w:val="20"/>
        </w:rPr>
        <w:t xml:space="preserve">Secrétaire de séance : Mme </w:t>
      </w:r>
      <w:r w:rsidR="00697E20">
        <w:rPr>
          <w:sz w:val="20"/>
        </w:rPr>
        <w:t>JAY</w:t>
      </w:r>
    </w:p>
    <w:p w:rsidR="00794FFC" w:rsidRDefault="00794FFC" w:rsidP="005313E4">
      <w:pPr>
        <w:tabs>
          <w:tab w:val="left" w:pos="2835"/>
          <w:tab w:val="left" w:pos="5529"/>
        </w:tabs>
        <w:spacing w:after="0" w:line="240" w:lineRule="auto"/>
        <w:rPr>
          <w:rFonts w:ascii="Arial" w:eastAsia="Times New Roman" w:hAnsi="Arial" w:cs="Arial"/>
          <w:i/>
          <w:sz w:val="20"/>
          <w:szCs w:val="20"/>
          <w:u w:val="single"/>
          <w:lang w:eastAsia="fr-FR"/>
        </w:rPr>
      </w:pPr>
    </w:p>
    <w:p w:rsidR="0019432C" w:rsidRDefault="0019432C" w:rsidP="005313E4">
      <w:pPr>
        <w:tabs>
          <w:tab w:val="left" w:pos="2835"/>
          <w:tab w:val="left" w:pos="5529"/>
        </w:tabs>
        <w:spacing w:after="0" w:line="240" w:lineRule="auto"/>
        <w:rPr>
          <w:rFonts w:ascii="Arial" w:eastAsia="Times New Roman" w:hAnsi="Arial" w:cs="Arial"/>
          <w:i/>
          <w:sz w:val="20"/>
          <w:szCs w:val="20"/>
          <w:u w:val="single"/>
          <w:lang w:eastAsia="fr-FR"/>
        </w:rPr>
      </w:pPr>
    </w:p>
    <w:p w:rsidR="004403B2" w:rsidRDefault="004403B2" w:rsidP="005313E4">
      <w:pPr>
        <w:tabs>
          <w:tab w:val="left" w:pos="2835"/>
          <w:tab w:val="left" w:pos="5529"/>
        </w:tabs>
        <w:spacing w:after="0" w:line="240" w:lineRule="auto"/>
        <w:rPr>
          <w:rFonts w:ascii="Arial" w:eastAsia="Times New Roman" w:hAnsi="Arial" w:cs="Arial"/>
          <w:i/>
          <w:sz w:val="20"/>
          <w:szCs w:val="20"/>
          <w:u w:val="single"/>
          <w:lang w:eastAsia="fr-FR"/>
        </w:rPr>
        <w:sectPr w:rsidR="004403B2" w:rsidSect="00BB1816">
          <w:pgSz w:w="11906" w:h="16838"/>
          <w:pgMar w:top="284" w:right="1417" w:bottom="851" w:left="1417" w:header="708" w:footer="708" w:gutter="0"/>
          <w:cols w:num="2" w:space="708" w:equalWidth="0">
            <w:col w:w="2552" w:space="708"/>
            <w:col w:w="5812"/>
          </w:cols>
          <w:docGrid w:linePitch="360"/>
        </w:sectPr>
      </w:pPr>
    </w:p>
    <w:p w:rsidR="00DC71B3" w:rsidRPr="003E2BC6" w:rsidRDefault="00DC71B3" w:rsidP="003E2BC6">
      <w:pPr>
        <w:jc w:val="both"/>
        <w:rPr>
          <w:rFonts w:cs="Tahoma"/>
          <w:b/>
        </w:rPr>
      </w:pPr>
      <w:r>
        <w:rPr>
          <w:rFonts w:cs="Tahoma"/>
          <w:b/>
        </w:rPr>
        <w:t>2020030</w:t>
      </w:r>
      <w:r w:rsidR="002F0DE6">
        <w:rPr>
          <w:rFonts w:cs="Tahoma"/>
          <w:b/>
        </w:rPr>
        <w:t>1</w:t>
      </w:r>
      <w:r>
        <w:rPr>
          <w:rFonts w:cs="Tahoma"/>
          <w:b/>
        </w:rPr>
        <w:t xml:space="preserve"> CONVENTION DE MISE A DISPOSITION D’EQUIPEMENTS PUBLICS ENTRE LA COMMUNE ET L’ASSOCIATION TCSBO</w:t>
      </w:r>
    </w:p>
    <w:p w:rsidR="000F6ED7" w:rsidRDefault="00DC71B3" w:rsidP="00230C63">
      <w:pPr>
        <w:jc w:val="both"/>
        <w:rPr>
          <w:rFonts w:cs="Tahoma"/>
          <w:b/>
          <w:szCs w:val="20"/>
        </w:rPr>
      </w:pPr>
      <w:r w:rsidRPr="00230C63">
        <w:rPr>
          <w:rFonts w:cs="Tahoma"/>
        </w:rPr>
        <w:t xml:space="preserve">Monsieur </w:t>
      </w:r>
      <w:r w:rsidR="003611F5">
        <w:rPr>
          <w:rFonts w:cs="Tahoma"/>
        </w:rPr>
        <w:t xml:space="preserve">MANGEL, Maire-Adjoint, </w:t>
      </w:r>
      <w:r w:rsidRPr="00230C63">
        <w:rPr>
          <w:rFonts w:cs="Tahoma"/>
        </w:rPr>
        <w:t>explique que suite aux travaux de restructuration des locaux du tennis, il convient aujourd’hui d’autoriser l’association TCSBO tennis club de Saint-Bonnet-</w:t>
      </w:r>
      <w:proofErr w:type="spellStart"/>
      <w:r w:rsidRPr="00230C63">
        <w:rPr>
          <w:rFonts w:cs="Tahoma"/>
        </w:rPr>
        <w:t>Oules</w:t>
      </w:r>
      <w:proofErr w:type="spellEnd"/>
      <w:r w:rsidRPr="00230C63">
        <w:rPr>
          <w:rFonts w:cs="Tahoma"/>
        </w:rPr>
        <w:t xml:space="preserve"> à utiliser les </w:t>
      </w:r>
      <w:r w:rsidR="00230C63" w:rsidRPr="00230C63">
        <w:rPr>
          <w:rFonts w:cs="Tahoma"/>
        </w:rPr>
        <w:t>équipements</w:t>
      </w:r>
      <w:r w:rsidRPr="00230C63">
        <w:rPr>
          <w:rFonts w:cs="Tahoma"/>
        </w:rPr>
        <w:t>.</w:t>
      </w:r>
      <w:r w:rsidR="000F6ED7">
        <w:rPr>
          <w:rFonts w:cs="Tahoma"/>
        </w:rPr>
        <w:t xml:space="preserve"> </w:t>
      </w:r>
      <w:r w:rsidRPr="00230C63">
        <w:rPr>
          <w:rFonts w:cs="Tahoma"/>
        </w:rPr>
        <w:t>Une convention est donc rédigée en ce sens et précise toutes les modalités de cette mise à disposition, d’une durée de 5 ans.</w:t>
      </w:r>
      <w:r w:rsidR="000F6ED7">
        <w:rPr>
          <w:rFonts w:cs="Tahoma"/>
        </w:rPr>
        <w:t xml:space="preserve"> </w:t>
      </w:r>
      <w:r w:rsidR="000F6ED7" w:rsidRPr="000F6ED7">
        <w:rPr>
          <w:rFonts w:cs="Tahoma"/>
          <w:b/>
          <w:szCs w:val="20"/>
        </w:rPr>
        <w:t>APPROBATION UNANIME</w:t>
      </w:r>
    </w:p>
    <w:p w:rsidR="0072662A" w:rsidRDefault="004730A8" w:rsidP="009E66CD">
      <w:pPr>
        <w:spacing w:after="120"/>
        <w:jc w:val="both"/>
        <w:rPr>
          <w:rFonts w:cs="Tahoma"/>
          <w:b/>
          <w:szCs w:val="20"/>
        </w:rPr>
      </w:pPr>
      <w:r>
        <w:rPr>
          <w:rFonts w:cs="Tahoma"/>
          <w:b/>
          <w:szCs w:val="20"/>
        </w:rPr>
        <w:t>20200302 NEUTRALISATION TOTALE DE LA CHARGE D’AMORTISSEMENT</w:t>
      </w:r>
    </w:p>
    <w:p w:rsidR="004730A8" w:rsidRDefault="004730A8" w:rsidP="00230C63">
      <w:pPr>
        <w:jc w:val="both"/>
        <w:rPr>
          <w:rFonts w:cs="Tahoma"/>
          <w:szCs w:val="20"/>
        </w:rPr>
      </w:pPr>
      <w:r>
        <w:rPr>
          <w:rFonts w:cs="Tahoma"/>
          <w:szCs w:val="20"/>
        </w:rPr>
        <w:t>Monsieur le Maire expose que la Commune</w:t>
      </w:r>
      <w:r w:rsidR="00E12FD2">
        <w:rPr>
          <w:rFonts w:cs="Tahoma"/>
          <w:szCs w:val="20"/>
        </w:rPr>
        <w:t xml:space="preserve"> </w:t>
      </w:r>
      <w:r>
        <w:rPr>
          <w:rFonts w:cs="Tahoma"/>
          <w:szCs w:val="20"/>
        </w:rPr>
        <w:t>verse par le biais du compte 204 des subventions d’équipement à des groupements de collectivités dans le cadre des travaux d’investissement réalisés sur la Commune par leur soin suite à des transferts de compétence : le SIEL et SEM notamment.</w:t>
      </w:r>
    </w:p>
    <w:p w:rsidR="004730A8" w:rsidRDefault="004730A8" w:rsidP="00230C63">
      <w:pPr>
        <w:jc w:val="both"/>
        <w:rPr>
          <w:rFonts w:cs="Tahoma"/>
          <w:szCs w:val="20"/>
        </w:rPr>
      </w:pPr>
      <w:r>
        <w:rPr>
          <w:rFonts w:cs="Tahoma"/>
          <w:szCs w:val="20"/>
        </w:rPr>
        <w:t>Le cumul des subventions d’équipement s’élève à plus de 1 320 000 €.</w:t>
      </w:r>
      <w:r w:rsidR="00E12FD2">
        <w:rPr>
          <w:rFonts w:cs="Tahoma"/>
          <w:szCs w:val="20"/>
        </w:rPr>
        <w:t xml:space="preserve"> Ces sommes doivent faire l’objet d’un amortissement annuel sur une durée qui ne saurait excéder 15 ans. Ceci représente une charge d’amortissement et donc en conséquence de fonctionnement qui s’avère très importante.</w:t>
      </w:r>
    </w:p>
    <w:p w:rsidR="00E12FD2" w:rsidRDefault="00E12FD2" w:rsidP="00230C63">
      <w:pPr>
        <w:jc w:val="both"/>
        <w:rPr>
          <w:rFonts w:cs="Tahoma"/>
          <w:szCs w:val="20"/>
        </w:rPr>
      </w:pPr>
      <w:r>
        <w:rPr>
          <w:rFonts w:cs="Tahoma"/>
          <w:szCs w:val="20"/>
        </w:rPr>
        <w:t>Pour l’année 2020, la charge est estimée à environ 91 650 €.</w:t>
      </w:r>
    </w:p>
    <w:p w:rsidR="00E12FD2" w:rsidRPr="00E12FD2" w:rsidRDefault="00E12FD2" w:rsidP="00230C63">
      <w:pPr>
        <w:jc w:val="both"/>
        <w:rPr>
          <w:rFonts w:cs="Tahoma"/>
          <w:b/>
          <w:szCs w:val="20"/>
        </w:rPr>
      </w:pPr>
      <w:r>
        <w:rPr>
          <w:rFonts w:cs="Tahoma"/>
          <w:szCs w:val="20"/>
        </w:rPr>
        <w:t xml:space="preserve">Il est procédé au conseil d’inscrire au budget primitif les sommes permettant de procéder à la neutralisation totale de cette charge sur l’exercice 2020. </w:t>
      </w:r>
      <w:r w:rsidRPr="00E12FD2">
        <w:rPr>
          <w:rFonts w:cs="Tahoma"/>
          <w:b/>
          <w:szCs w:val="20"/>
        </w:rPr>
        <w:t>APPROBATION UNANIME</w:t>
      </w:r>
    </w:p>
    <w:p w:rsidR="00E12FD2" w:rsidRDefault="00E12FD2" w:rsidP="00E12FD2">
      <w:pPr>
        <w:jc w:val="both"/>
        <w:rPr>
          <w:rFonts w:cs="Tahoma"/>
          <w:b/>
        </w:rPr>
      </w:pPr>
      <w:r>
        <w:rPr>
          <w:rFonts w:cs="Tahoma"/>
          <w:b/>
        </w:rPr>
        <w:t>20200303 APPROBATION DU COMPTE ADMINISTRATIF COMMUNE 2019</w:t>
      </w:r>
    </w:p>
    <w:p w:rsidR="00E12FD2" w:rsidRDefault="00E12FD2" w:rsidP="00E12FD2">
      <w:pPr>
        <w:numPr>
          <w:ilvl w:val="0"/>
          <w:numId w:val="24"/>
        </w:numPr>
        <w:spacing w:before="60" w:after="0" w:line="240" w:lineRule="auto"/>
        <w:ind w:left="1423" w:hanging="357"/>
        <w:rPr>
          <w:rFonts w:cs="Tahoma"/>
        </w:rPr>
      </w:pPr>
      <w:r>
        <w:rPr>
          <w:rFonts w:cs="Tahoma"/>
        </w:rPr>
        <w:t>Fonctionnement : résultat de l’exercice 2019 =  575 126.36 €</w:t>
      </w:r>
    </w:p>
    <w:p w:rsidR="00E12FD2" w:rsidRDefault="00E12FD2" w:rsidP="00E12FD2">
      <w:pPr>
        <w:numPr>
          <w:ilvl w:val="0"/>
          <w:numId w:val="24"/>
        </w:numPr>
        <w:spacing w:before="60" w:after="0" w:line="240" w:lineRule="auto"/>
        <w:ind w:left="1423" w:hanging="357"/>
        <w:rPr>
          <w:rFonts w:cs="Tahoma"/>
        </w:rPr>
      </w:pPr>
      <w:r>
        <w:rPr>
          <w:rFonts w:cs="Tahoma"/>
        </w:rPr>
        <w:t>Résultats antérieurs 2018 Fonctionnement : 850 655.92 €</w:t>
      </w:r>
    </w:p>
    <w:p w:rsidR="00E12FD2" w:rsidRDefault="00E12FD2" w:rsidP="00E12FD2">
      <w:pPr>
        <w:numPr>
          <w:ilvl w:val="0"/>
          <w:numId w:val="24"/>
        </w:numPr>
        <w:spacing w:before="60" w:after="0" w:line="240" w:lineRule="auto"/>
        <w:ind w:left="1423" w:hanging="357"/>
        <w:rPr>
          <w:rFonts w:cs="Tahoma"/>
          <w:b/>
        </w:rPr>
      </w:pPr>
      <w:r>
        <w:rPr>
          <w:rFonts w:cs="Tahoma"/>
          <w:b/>
        </w:rPr>
        <w:t>Résultat de clôture Fonctionnement : 1 425 782.28 €</w:t>
      </w:r>
    </w:p>
    <w:p w:rsidR="00E12FD2" w:rsidRDefault="00E12FD2" w:rsidP="00E12FD2">
      <w:pPr>
        <w:numPr>
          <w:ilvl w:val="0"/>
          <w:numId w:val="24"/>
        </w:numPr>
        <w:spacing w:before="60" w:after="0" w:line="240" w:lineRule="auto"/>
        <w:ind w:left="1423" w:hanging="357"/>
        <w:rPr>
          <w:rFonts w:cs="Tahoma"/>
        </w:rPr>
      </w:pPr>
      <w:r>
        <w:rPr>
          <w:rFonts w:cs="Tahoma"/>
        </w:rPr>
        <w:t>Résultat exercice 2019 Investissement : - 879 478.07 €</w:t>
      </w:r>
    </w:p>
    <w:p w:rsidR="00E12FD2" w:rsidRDefault="00E12FD2" w:rsidP="00E12FD2">
      <w:pPr>
        <w:numPr>
          <w:ilvl w:val="0"/>
          <w:numId w:val="24"/>
        </w:numPr>
        <w:spacing w:before="60" w:after="0" w:line="240" w:lineRule="auto"/>
        <w:ind w:left="1423" w:hanging="357"/>
        <w:rPr>
          <w:rFonts w:cs="Tahoma"/>
        </w:rPr>
      </w:pPr>
      <w:r>
        <w:rPr>
          <w:rFonts w:cs="Tahoma"/>
        </w:rPr>
        <w:t>Résultat antérieur 2018 Investissement = 1 638 204.47 €</w:t>
      </w:r>
    </w:p>
    <w:p w:rsidR="00E12FD2" w:rsidRDefault="00E12FD2" w:rsidP="00E12FD2">
      <w:pPr>
        <w:numPr>
          <w:ilvl w:val="0"/>
          <w:numId w:val="24"/>
        </w:numPr>
        <w:spacing w:before="60" w:after="0" w:line="240" w:lineRule="auto"/>
        <w:ind w:left="1423" w:hanging="357"/>
        <w:rPr>
          <w:rFonts w:cs="Tahoma"/>
          <w:b/>
        </w:rPr>
      </w:pPr>
      <w:r>
        <w:rPr>
          <w:rFonts w:cs="Tahoma"/>
          <w:b/>
        </w:rPr>
        <w:t>Résultat de clôture Investissement : 758 726.40 €</w:t>
      </w:r>
    </w:p>
    <w:p w:rsidR="00E12FD2" w:rsidRDefault="00E12FD2" w:rsidP="00E12FD2">
      <w:pPr>
        <w:numPr>
          <w:ilvl w:val="0"/>
          <w:numId w:val="24"/>
        </w:numPr>
        <w:spacing w:before="60" w:after="0" w:line="240" w:lineRule="auto"/>
        <w:ind w:left="1423" w:hanging="357"/>
        <w:rPr>
          <w:rFonts w:cs="Tahoma"/>
        </w:rPr>
      </w:pPr>
      <w:r>
        <w:rPr>
          <w:rFonts w:cs="Tahoma"/>
        </w:rPr>
        <w:t>RAR dépenses = 1 387 344.21 €</w:t>
      </w:r>
    </w:p>
    <w:p w:rsidR="00E12FD2" w:rsidRDefault="00E12FD2" w:rsidP="009E66CD">
      <w:pPr>
        <w:numPr>
          <w:ilvl w:val="0"/>
          <w:numId w:val="24"/>
        </w:numPr>
        <w:spacing w:before="60" w:after="120" w:line="240" w:lineRule="auto"/>
        <w:ind w:left="1423" w:hanging="357"/>
        <w:rPr>
          <w:rFonts w:cs="Tahoma"/>
        </w:rPr>
      </w:pPr>
      <w:r>
        <w:rPr>
          <w:rFonts w:cs="Tahoma"/>
        </w:rPr>
        <w:t>RAR recettes = 38 500 €</w:t>
      </w:r>
    </w:p>
    <w:p w:rsidR="009E66CD" w:rsidRDefault="009E66CD" w:rsidP="009E66CD">
      <w:pPr>
        <w:spacing w:after="0" w:line="240" w:lineRule="auto"/>
        <w:ind w:left="1066"/>
        <w:rPr>
          <w:rFonts w:cs="Tahoma"/>
        </w:rPr>
      </w:pPr>
    </w:p>
    <w:p w:rsidR="00E12FD2" w:rsidRDefault="00E12FD2" w:rsidP="00E12FD2">
      <w:pPr>
        <w:spacing w:before="120" w:after="0"/>
        <w:jc w:val="both"/>
        <w:rPr>
          <w:rFonts w:cs="Tahoma"/>
          <w:b/>
          <w:szCs w:val="24"/>
        </w:rPr>
      </w:pPr>
      <w:r>
        <w:rPr>
          <w:rFonts w:cs="Tahoma"/>
          <w:b/>
          <w:szCs w:val="24"/>
        </w:rPr>
        <w:t>20200304 APPROBATION DU COMPTE DE GESTION BUDGET COMMUNAL ANNEE 2019 DRESSE PAR MME FAVARD MARIE CHRISTINE TRESORIERE MUNICIPALE</w:t>
      </w:r>
    </w:p>
    <w:p w:rsidR="00E12FD2" w:rsidRDefault="00E12FD2" w:rsidP="00E12FD2">
      <w:pPr>
        <w:spacing w:before="120"/>
        <w:jc w:val="both"/>
        <w:rPr>
          <w:rFonts w:cs="Tahoma"/>
        </w:rPr>
      </w:pPr>
      <w:r>
        <w:rPr>
          <w:rFonts w:cs="Tahoma"/>
          <w:b/>
        </w:rPr>
        <w:t>Le Conseil Municipal</w:t>
      </w:r>
      <w:r>
        <w:rPr>
          <w:rFonts w:cs="Tahoma"/>
        </w:rPr>
        <w:t>,</w:t>
      </w:r>
    </w:p>
    <w:p w:rsidR="00E12FD2" w:rsidRDefault="00E12FD2" w:rsidP="00E12FD2">
      <w:pPr>
        <w:spacing w:after="120"/>
        <w:jc w:val="both"/>
        <w:rPr>
          <w:rFonts w:cs="Tahoma"/>
        </w:rPr>
      </w:pPr>
      <w:r>
        <w:rPr>
          <w:rFonts w:cs="Tahoma"/>
        </w:rPr>
        <w:t xml:space="preserve">Après s’être fait présenter le budget primitif de l’exercice 2019 et les décisions modificatives qui s’y rattachent, les titres définitifs des créances à recouvrer, le détail des dépenses effectuées et celui des mandats délivrés, les bordereaux de titres de recettes, les bordereaux des mandats, le compte de </w:t>
      </w:r>
      <w:r>
        <w:rPr>
          <w:rFonts w:cs="Tahoma"/>
        </w:rPr>
        <w:lastRenderedPageBreak/>
        <w:t>gestion dressé par le receveur accompagné des états de développement des comptes de tiers ainsi que l’état de l’actif, du passif, l’état des restes à recouvrer et l’état des restes à payer.</w:t>
      </w:r>
    </w:p>
    <w:p w:rsidR="00E12FD2" w:rsidRDefault="00E12FD2" w:rsidP="00E12FD2">
      <w:pPr>
        <w:spacing w:after="120"/>
        <w:jc w:val="both"/>
        <w:rPr>
          <w:rFonts w:cs="Tahoma"/>
        </w:rPr>
      </w:pPr>
      <w:r>
        <w:rPr>
          <w:rFonts w:cs="Tahoma"/>
        </w:rPr>
        <w:t>Après avoir entendu et approuvé le compte administratif de l’exercice 2019,</w:t>
      </w:r>
    </w:p>
    <w:p w:rsidR="00E12FD2" w:rsidRDefault="00E12FD2" w:rsidP="00E12FD2">
      <w:pPr>
        <w:spacing w:after="120"/>
        <w:jc w:val="both"/>
        <w:rPr>
          <w:rFonts w:cs="Tahoma"/>
        </w:rPr>
      </w:pPr>
      <w:r>
        <w:rPr>
          <w:rFonts w:cs="Tahoma"/>
        </w:rPr>
        <w:t>Après s’être assuré que le receveur a repris dans ses écritures le montant de chacun des soldes figurant au bilan de l’exercice 2018, celui de tous les titres de recettes émis et celui de tous les mandats de paiement ordonnancés et qu’il a procédé à toutes les opérations d’ordre qu’il lui a été prescrit de passer dans ses écritures,</w:t>
      </w:r>
    </w:p>
    <w:p w:rsidR="00E12FD2" w:rsidRDefault="00E12FD2" w:rsidP="00E12FD2">
      <w:pPr>
        <w:numPr>
          <w:ilvl w:val="0"/>
          <w:numId w:val="25"/>
        </w:numPr>
        <w:spacing w:after="0" w:line="240" w:lineRule="auto"/>
        <w:jc w:val="both"/>
        <w:rPr>
          <w:rFonts w:cs="Tahoma"/>
        </w:rPr>
      </w:pPr>
      <w:r>
        <w:rPr>
          <w:rFonts w:cs="Tahoma"/>
        </w:rPr>
        <w:t>Statuant sur l’ensemble des opérations effectuées du 1</w:t>
      </w:r>
      <w:r>
        <w:rPr>
          <w:rFonts w:cs="Tahoma"/>
          <w:vertAlign w:val="superscript"/>
        </w:rPr>
        <w:t>er</w:t>
      </w:r>
      <w:r>
        <w:rPr>
          <w:rFonts w:cs="Tahoma"/>
        </w:rPr>
        <w:t xml:space="preserve"> janvier 2019 au 31 décembre 2019, </w:t>
      </w:r>
    </w:p>
    <w:p w:rsidR="00E12FD2" w:rsidRDefault="00E12FD2" w:rsidP="00E12FD2">
      <w:pPr>
        <w:numPr>
          <w:ilvl w:val="0"/>
          <w:numId w:val="25"/>
        </w:numPr>
        <w:spacing w:after="0" w:line="240" w:lineRule="auto"/>
        <w:jc w:val="both"/>
        <w:rPr>
          <w:rFonts w:cs="Tahoma"/>
        </w:rPr>
      </w:pPr>
      <w:r>
        <w:rPr>
          <w:rFonts w:cs="Tahoma"/>
        </w:rPr>
        <w:t>Statuant sur l’exécution du budget de l’exercice 2019 en ce qui concerne les différentes sections budgétaires et budgets annexes et statuant sur la comptabilité des valeurs inactives,</w:t>
      </w:r>
    </w:p>
    <w:p w:rsidR="00E12FD2" w:rsidRDefault="00E12FD2" w:rsidP="00E12FD2">
      <w:pPr>
        <w:spacing w:after="0"/>
        <w:jc w:val="both"/>
        <w:rPr>
          <w:rFonts w:cs="Tahoma"/>
          <w:b/>
        </w:rPr>
      </w:pPr>
    </w:p>
    <w:p w:rsidR="00E12FD2" w:rsidRDefault="00E12FD2" w:rsidP="00E12FD2">
      <w:pPr>
        <w:jc w:val="both"/>
        <w:rPr>
          <w:rFonts w:cs="Tahoma"/>
        </w:rPr>
      </w:pPr>
      <w:r>
        <w:rPr>
          <w:rFonts w:cs="Tahoma"/>
          <w:b/>
        </w:rPr>
        <w:t xml:space="preserve">Déclare </w:t>
      </w:r>
      <w:r>
        <w:rPr>
          <w:rFonts w:cs="Tahoma"/>
        </w:rPr>
        <w:t>que le compte de gestion dressé pour l’exercice 2019 par le receveur, visé et certifié conforme par l’ordonnateur, n’appelle ni observation ni réserve de sa part.</w:t>
      </w:r>
    </w:p>
    <w:p w:rsidR="00E12FD2" w:rsidRDefault="00E12FD2" w:rsidP="00E12FD2">
      <w:pPr>
        <w:ind w:left="60"/>
        <w:jc w:val="both"/>
        <w:rPr>
          <w:rFonts w:cs="Tahoma"/>
        </w:rPr>
      </w:pPr>
      <w:r>
        <w:rPr>
          <w:rFonts w:cs="Tahoma"/>
        </w:rPr>
        <w:t>Ce vote a lieu à l'unanimité des membres.</w:t>
      </w:r>
    </w:p>
    <w:p w:rsidR="00E12FD2" w:rsidRDefault="00E12FD2" w:rsidP="00E12FD2">
      <w:pPr>
        <w:spacing w:before="120" w:after="0"/>
        <w:jc w:val="both"/>
        <w:rPr>
          <w:rFonts w:cs="Tahoma"/>
          <w:szCs w:val="20"/>
        </w:rPr>
      </w:pPr>
      <w:r>
        <w:rPr>
          <w:rFonts w:cs="Tahoma"/>
          <w:b/>
          <w:szCs w:val="24"/>
        </w:rPr>
        <w:t>20200305 VOTE DES TAXES COMMUNALES</w:t>
      </w:r>
    </w:p>
    <w:p w:rsidR="00E12FD2" w:rsidRDefault="00E12FD2" w:rsidP="00E12FD2">
      <w:pPr>
        <w:spacing w:after="60"/>
        <w:ind w:left="1134" w:hanging="1134"/>
        <w:jc w:val="both"/>
        <w:rPr>
          <w:rFonts w:cs="Tahoma"/>
          <w:b/>
          <w:caps/>
        </w:rPr>
      </w:pPr>
      <w:r>
        <w:rPr>
          <w:rFonts w:cs="Tahoma"/>
          <w:b/>
          <w:caps/>
        </w:rPr>
        <w:t xml:space="preserve"> TAXE FONCIERE BATIE / TAXE  FONCIERE NON BATIE</w:t>
      </w:r>
    </w:p>
    <w:p w:rsidR="00E12FD2" w:rsidRDefault="00E12FD2" w:rsidP="00E12FD2">
      <w:pPr>
        <w:spacing w:after="0"/>
        <w:jc w:val="both"/>
      </w:pPr>
      <w:r>
        <w:t xml:space="preserve">Monsieur le Maire expose : </w:t>
      </w:r>
    </w:p>
    <w:p w:rsidR="00E12FD2" w:rsidRDefault="00E12FD2" w:rsidP="00E12FD2">
      <w:pPr>
        <w:spacing w:after="120"/>
        <w:jc w:val="both"/>
        <w:rPr>
          <w:rFonts w:cs="Times New Roman"/>
        </w:rPr>
      </w:pPr>
      <w:r>
        <w:t>Suite aux orientations prises et à la gestion rigoureuse des dernières années, il n'est pas nécessaire, pour l'équilibre du budget communal, d'augmenter la pression fiscale.</w:t>
      </w:r>
    </w:p>
    <w:p w:rsidR="00E12FD2" w:rsidRDefault="00E12FD2" w:rsidP="00E12FD2">
      <w:pPr>
        <w:spacing w:after="0"/>
        <w:jc w:val="both"/>
      </w:pPr>
      <w:r>
        <w:t>Ouï cet exposé, le Conseil Municipal, par 8 voix pour et 4 abstentions :</w:t>
      </w:r>
    </w:p>
    <w:p w:rsidR="00E12FD2" w:rsidRDefault="00E12FD2" w:rsidP="00E12FD2">
      <w:pPr>
        <w:numPr>
          <w:ilvl w:val="0"/>
          <w:numId w:val="26"/>
        </w:numPr>
        <w:spacing w:after="0" w:line="240" w:lineRule="auto"/>
        <w:jc w:val="both"/>
      </w:pPr>
      <w:r>
        <w:t>DECIDE de maintenir les taux de l'année précédente soit :</w:t>
      </w:r>
    </w:p>
    <w:p w:rsidR="00E12FD2" w:rsidRDefault="00E12FD2" w:rsidP="00E12FD2">
      <w:pPr>
        <w:numPr>
          <w:ilvl w:val="0"/>
          <w:numId w:val="27"/>
        </w:numPr>
        <w:spacing w:after="0" w:line="240" w:lineRule="auto"/>
        <w:jc w:val="both"/>
      </w:pPr>
      <w:r>
        <w:t xml:space="preserve">Foncier bâti        : 12.79 %  </w:t>
      </w:r>
    </w:p>
    <w:p w:rsidR="00E12FD2" w:rsidRDefault="00E12FD2" w:rsidP="00E12FD2">
      <w:pPr>
        <w:numPr>
          <w:ilvl w:val="0"/>
          <w:numId w:val="27"/>
        </w:numPr>
        <w:spacing w:after="120" w:line="240" w:lineRule="auto"/>
        <w:jc w:val="both"/>
      </w:pPr>
      <w:r>
        <w:t xml:space="preserve">Foncier non bâti : 32.77 % </w:t>
      </w:r>
    </w:p>
    <w:p w:rsidR="00E12FD2" w:rsidRPr="00E12FD2" w:rsidRDefault="00E12FD2" w:rsidP="00E12FD2">
      <w:pPr>
        <w:spacing w:after="120" w:line="240" w:lineRule="auto"/>
        <w:jc w:val="both"/>
        <w:rPr>
          <w:b/>
        </w:rPr>
      </w:pPr>
      <w:r w:rsidRPr="00E12FD2">
        <w:rPr>
          <w:b/>
        </w:rPr>
        <w:t>20200306 AFFECTATION DU RESULTAT DE FONCTIONNEMENT DE L’EXERCICE 2019</w:t>
      </w:r>
    </w:p>
    <w:p w:rsidR="00E12FD2" w:rsidRDefault="009E66CD" w:rsidP="009E66CD">
      <w:pPr>
        <w:spacing w:after="0"/>
        <w:ind w:left="60"/>
        <w:jc w:val="both"/>
        <w:rPr>
          <w:rFonts w:cs="Tahoma"/>
        </w:rPr>
      </w:pPr>
      <w:r>
        <w:rPr>
          <w:rFonts w:cs="Tahoma"/>
        </w:rPr>
        <w:t>Résultat de l’exercice </w:t>
      </w:r>
      <w:r w:rsidR="0087797B">
        <w:rPr>
          <w:rFonts w:cs="Tahoma"/>
        </w:rPr>
        <w:t xml:space="preserve"> 2019 </w:t>
      </w:r>
      <w:r>
        <w:rPr>
          <w:rFonts w:cs="Tahoma"/>
        </w:rPr>
        <w:t>: 575 126.36 €</w:t>
      </w:r>
    </w:p>
    <w:p w:rsidR="009E66CD" w:rsidRDefault="009E66CD" w:rsidP="009E66CD">
      <w:pPr>
        <w:spacing w:after="0"/>
        <w:ind w:left="60"/>
        <w:jc w:val="both"/>
        <w:rPr>
          <w:rFonts w:cs="Tahoma"/>
        </w:rPr>
      </w:pPr>
      <w:r>
        <w:rPr>
          <w:rFonts w:cs="Tahoma"/>
        </w:rPr>
        <w:t>Résultats antérieurs reportés : 850 655.92 €</w:t>
      </w:r>
    </w:p>
    <w:p w:rsidR="009E66CD" w:rsidRDefault="009E66CD" w:rsidP="009E66CD">
      <w:pPr>
        <w:spacing w:after="0"/>
        <w:ind w:left="60"/>
        <w:jc w:val="both"/>
        <w:rPr>
          <w:rFonts w:cs="Tahoma"/>
        </w:rPr>
      </w:pPr>
      <w:r>
        <w:rPr>
          <w:rFonts w:cs="Tahoma"/>
        </w:rPr>
        <w:t>Résultat à affecter : 1 425 782.28 €</w:t>
      </w:r>
    </w:p>
    <w:p w:rsidR="009E66CD" w:rsidRDefault="009E66CD" w:rsidP="009E66CD">
      <w:pPr>
        <w:spacing w:after="0"/>
        <w:ind w:left="60"/>
        <w:jc w:val="both"/>
        <w:rPr>
          <w:rFonts w:cs="Tahoma"/>
        </w:rPr>
      </w:pPr>
      <w:r>
        <w:rPr>
          <w:rFonts w:cs="Tahoma"/>
        </w:rPr>
        <w:t>Solde d’exécution d’investissement : 758 726.40 €</w:t>
      </w:r>
    </w:p>
    <w:p w:rsidR="009E66CD" w:rsidRDefault="009E66CD" w:rsidP="009E66CD">
      <w:pPr>
        <w:spacing w:after="0"/>
        <w:ind w:left="60"/>
        <w:jc w:val="both"/>
        <w:rPr>
          <w:rFonts w:cs="Tahoma"/>
        </w:rPr>
      </w:pPr>
      <w:r>
        <w:rPr>
          <w:rFonts w:cs="Tahoma"/>
        </w:rPr>
        <w:t>Solde des restes à réaliser d’investissement ! 1 348 844.21 €</w:t>
      </w:r>
    </w:p>
    <w:p w:rsidR="009E66CD" w:rsidRDefault="009E66CD" w:rsidP="009E66CD">
      <w:pPr>
        <w:spacing w:after="0"/>
        <w:ind w:left="60"/>
        <w:jc w:val="both"/>
        <w:rPr>
          <w:rFonts w:cs="Tahoma"/>
        </w:rPr>
      </w:pPr>
      <w:r>
        <w:rPr>
          <w:rFonts w:cs="Tahoma"/>
        </w:rPr>
        <w:t>AFFECTATION : 1 425 782.28 €</w:t>
      </w:r>
    </w:p>
    <w:p w:rsidR="009E66CD" w:rsidRPr="009E66CD" w:rsidRDefault="009E66CD" w:rsidP="009E66CD">
      <w:pPr>
        <w:spacing w:after="0"/>
        <w:ind w:left="60"/>
        <w:jc w:val="both"/>
        <w:rPr>
          <w:rFonts w:cs="Tahoma"/>
          <w:b/>
        </w:rPr>
      </w:pPr>
      <w:r w:rsidRPr="009E66CD">
        <w:rPr>
          <w:rFonts w:cs="Tahoma"/>
          <w:b/>
        </w:rPr>
        <w:t>Affectation en réserves R 1068 en investissement : 590 117.81 €</w:t>
      </w:r>
    </w:p>
    <w:p w:rsidR="009E66CD" w:rsidRPr="009E66CD" w:rsidRDefault="009E66CD" w:rsidP="00E12FD2">
      <w:pPr>
        <w:ind w:left="60"/>
        <w:jc w:val="both"/>
        <w:rPr>
          <w:rFonts w:cs="Tahoma"/>
          <w:b/>
        </w:rPr>
      </w:pPr>
      <w:r w:rsidRPr="009E66CD">
        <w:rPr>
          <w:rFonts w:cs="Tahoma"/>
          <w:b/>
        </w:rPr>
        <w:t>Report en fonctionnement : 835 664.47 €</w:t>
      </w:r>
      <w:bookmarkStart w:id="0" w:name="_GoBack"/>
      <w:bookmarkEnd w:id="0"/>
    </w:p>
    <w:p w:rsidR="009E66CD" w:rsidRDefault="009E66CD" w:rsidP="00E12FD2">
      <w:pPr>
        <w:ind w:left="60"/>
        <w:jc w:val="both"/>
        <w:rPr>
          <w:rFonts w:cs="Tahoma"/>
        </w:rPr>
      </w:pPr>
    </w:p>
    <w:p w:rsidR="00E12FD2" w:rsidRDefault="00E12FD2" w:rsidP="00E12FD2">
      <w:pPr>
        <w:spacing w:before="60" w:after="0" w:line="240" w:lineRule="auto"/>
        <w:rPr>
          <w:rFonts w:cs="Tahoma"/>
        </w:rPr>
      </w:pPr>
    </w:p>
    <w:p w:rsidR="004730A8" w:rsidRPr="004730A8" w:rsidRDefault="004730A8" w:rsidP="00230C63">
      <w:pPr>
        <w:jc w:val="both"/>
        <w:rPr>
          <w:rFonts w:cs="Tahoma"/>
          <w:szCs w:val="20"/>
        </w:rPr>
      </w:pPr>
    </w:p>
    <w:sectPr w:rsidR="004730A8" w:rsidRPr="004730A8" w:rsidSect="00BB1816">
      <w:type w:val="continuous"/>
      <w:pgSz w:w="11906" w:h="16838"/>
      <w:pgMar w:top="142"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041"/>
    <w:multiLevelType w:val="hybridMultilevel"/>
    <w:tmpl w:val="68342652"/>
    <w:lvl w:ilvl="0" w:tplc="3AA06A10">
      <w:start w:val="20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5007CB"/>
    <w:multiLevelType w:val="hybridMultilevel"/>
    <w:tmpl w:val="C7548EA8"/>
    <w:lvl w:ilvl="0" w:tplc="040C0001">
      <w:start w:val="1"/>
      <w:numFmt w:val="bullet"/>
      <w:lvlText w:val=""/>
      <w:lvlJc w:val="left"/>
      <w:pPr>
        <w:tabs>
          <w:tab w:val="num" w:pos="1428"/>
        </w:tabs>
        <w:ind w:left="1428" w:hanging="360"/>
      </w:pPr>
      <w:rPr>
        <w:rFonts w:ascii="Symbol" w:hAnsi="Symbol"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cs="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cs="Courier New"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183571A5"/>
    <w:multiLevelType w:val="hybridMultilevel"/>
    <w:tmpl w:val="02E44D24"/>
    <w:lvl w:ilvl="0" w:tplc="E5A0E01A">
      <w:start w:val="20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C85418"/>
    <w:multiLevelType w:val="hybridMultilevel"/>
    <w:tmpl w:val="67A21090"/>
    <w:lvl w:ilvl="0" w:tplc="A98A9974">
      <w:start w:val="201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A8509B0"/>
    <w:multiLevelType w:val="hybridMultilevel"/>
    <w:tmpl w:val="3E2EEC02"/>
    <w:lvl w:ilvl="0" w:tplc="061256CC">
      <w:start w:val="20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63134B"/>
    <w:multiLevelType w:val="hybridMultilevel"/>
    <w:tmpl w:val="090C6C9E"/>
    <w:lvl w:ilvl="0" w:tplc="975AF9D6">
      <w:start w:val="12"/>
      <w:numFmt w:val="bullet"/>
      <w:lvlText w:val="-"/>
      <w:lvlJc w:val="left"/>
      <w:pPr>
        <w:ind w:left="720" w:hanging="360"/>
      </w:pPr>
      <w:rPr>
        <w:rFonts w:ascii="Calibri" w:eastAsiaTheme="minorHAnsi" w:hAnsi="Calibri" w:cs="Tahoma"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991508"/>
    <w:multiLevelType w:val="hybridMultilevel"/>
    <w:tmpl w:val="347026EA"/>
    <w:lvl w:ilvl="0" w:tplc="219A6278">
      <w:numFmt w:val="bullet"/>
      <w:lvlText w:val="-"/>
      <w:lvlJc w:val="left"/>
      <w:pPr>
        <w:ind w:left="720" w:hanging="360"/>
      </w:pPr>
      <w:rPr>
        <w:rFonts w:ascii="Calibri" w:eastAsiaTheme="minorHAnsi"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A524E5"/>
    <w:multiLevelType w:val="singleLevel"/>
    <w:tmpl w:val="45B229B4"/>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300F5F97"/>
    <w:multiLevelType w:val="hybridMultilevel"/>
    <w:tmpl w:val="2BE4436E"/>
    <w:lvl w:ilvl="0" w:tplc="BECC0BA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CD349F"/>
    <w:multiLevelType w:val="singleLevel"/>
    <w:tmpl w:val="F2380E0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99F4409"/>
    <w:multiLevelType w:val="hybridMultilevel"/>
    <w:tmpl w:val="2A1CF86C"/>
    <w:lvl w:ilvl="0" w:tplc="89504248">
      <w:start w:val="2014"/>
      <w:numFmt w:val="bullet"/>
      <w:lvlText w:val="-"/>
      <w:lvlJc w:val="left"/>
      <w:pPr>
        <w:ind w:left="720" w:hanging="360"/>
      </w:pPr>
      <w:rPr>
        <w:rFonts w:ascii="Cambria" w:eastAsia="Times New Roman" w:hAnsi="Cambri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DD020D1"/>
    <w:multiLevelType w:val="hybridMultilevel"/>
    <w:tmpl w:val="A3FEE228"/>
    <w:lvl w:ilvl="0" w:tplc="1DDC0AE0">
      <w:start w:val="20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4C0CE7"/>
    <w:multiLevelType w:val="singleLevel"/>
    <w:tmpl w:val="BB100640"/>
    <w:lvl w:ilvl="0">
      <w:numFmt w:val="bullet"/>
      <w:lvlText w:val=""/>
      <w:lvlJc w:val="left"/>
      <w:pPr>
        <w:tabs>
          <w:tab w:val="num" w:pos="360"/>
        </w:tabs>
        <w:ind w:left="360" w:hanging="360"/>
      </w:pPr>
      <w:rPr>
        <w:rFonts w:ascii="Symbol" w:hAnsi="Symbol" w:hint="default"/>
      </w:rPr>
    </w:lvl>
  </w:abstractNum>
  <w:abstractNum w:abstractNumId="13" w15:restartNumberingAfterBreak="0">
    <w:nsid w:val="42B83CE6"/>
    <w:multiLevelType w:val="hybridMultilevel"/>
    <w:tmpl w:val="AE6E56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9266FCC"/>
    <w:multiLevelType w:val="hybridMultilevel"/>
    <w:tmpl w:val="4BC2B8BE"/>
    <w:lvl w:ilvl="0" w:tplc="040C000F">
      <w:start w:val="1"/>
      <w:numFmt w:val="decimal"/>
      <w:lvlText w:val="%1."/>
      <w:lvlJc w:val="left"/>
      <w:pPr>
        <w:ind w:left="765" w:hanging="360"/>
      </w:pPr>
    </w:lvl>
    <w:lvl w:ilvl="1" w:tplc="040C0019">
      <w:start w:val="1"/>
      <w:numFmt w:val="lowerLetter"/>
      <w:lvlText w:val="%2."/>
      <w:lvlJc w:val="left"/>
      <w:pPr>
        <w:ind w:left="1485" w:hanging="360"/>
      </w:pPr>
    </w:lvl>
    <w:lvl w:ilvl="2" w:tplc="040C001B">
      <w:start w:val="1"/>
      <w:numFmt w:val="lowerRoman"/>
      <w:lvlText w:val="%3."/>
      <w:lvlJc w:val="right"/>
      <w:pPr>
        <w:ind w:left="2205" w:hanging="180"/>
      </w:pPr>
    </w:lvl>
    <w:lvl w:ilvl="3" w:tplc="040C000F">
      <w:start w:val="1"/>
      <w:numFmt w:val="decimal"/>
      <w:lvlText w:val="%4."/>
      <w:lvlJc w:val="left"/>
      <w:pPr>
        <w:ind w:left="2925" w:hanging="360"/>
      </w:pPr>
    </w:lvl>
    <w:lvl w:ilvl="4" w:tplc="040C0019">
      <w:start w:val="1"/>
      <w:numFmt w:val="lowerLetter"/>
      <w:lvlText w:val="%5."/>
      <w:lvlJc w:val="left"/>
      <w:pPr>
        <w:ind w:left="3645" w:hanging="360"/>
      </w:pPr>
    </w:lvl>
    <w:lvl w:ilvl="5" w:tplc="040C001B">
      <w:start w:val="1"/>
      <w:numFmt w:val="lowerRoman"/>
      <w:lvlText w:val="%6."/>
      <w:lvlJc w:val="right"/>
      <w:pPr>
        <w:ind w:left="4365" w:hanging="180"/>
      </w:pPr>
    </w:lvl>
    <w:lvl w:ilvl="6" w:tplc="040C000F">
      <w:start w:val="1"/>
      <w:numFmt w:val="decimal"/>
      <w:lvlText w:val="%7."/>
      <w:lvlJc w:val="left"/>
      <w:pPr>
        <w:ind w:left="5085" w:hanging="360"/>
      </w:pPr>
    </w:lvl>
    <w:lvl w:ilvl="7" w:tplc="040C0019">
      <w:start w:val="1"/>
      <w:numFmt w:val="lowerLetter"/>
      <w:lvlText w:val="%8."/>
      <w:lvlJc w:val="left"/>
      <w:pPr>
        <w:ind w:left="5805" w:hanging="360"/>
      </w:pPr>
    </w:lvl>
    <w:lvl w:ilvl="8" w:tplc="040C001B">
      <w:start w:val="1"/>
      <w:numFmt w:val="lowerRoman"/>
      <w:lvlText w:val="%9."/>
      <w:lvlJc w:val="right"/>
      <w:pPr>
        <w:ind w:left="6525" w:hanging="180"/>
      </w:pPr>
    </w:lvl>
  </w:abstractNum>
  <w:abstractNum w:abstractNumId="15" w15:restartNumberingAfterBreak="0">
    <w:nsid w:val="49D420CD"/>
    <w:multiLevelType w:val="hybridMultilevel"/>
    <w:tmpl w:val="8FF29FD0"/>
    <w:lvl w:ilvl="0" w:tplc="CFD0E14A">
      <w:start w:val="2015"/>
      <w:numFmt w:val="bullet"/>
      <w:lvlText w:val="-"/>
      <w:lvlJc w:val="left"/>
      <w:pPr>
        <w:ind w:left="502" w:hanging="360"/>
      </w:pPr>
      <w:rPr>
        <w:rFonts w:ascii="Calibri" w:eastAsiaTheme="minorHAnsi" w:hAnsi="Calibri" w:cstheme="minorBid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6" w15:restartNumberingAfterBreak="0">
    <w:nsid w:val="53257CCB"/>
    <w:multiLevelType w:val="hybridMultilevel"/>
    <w:tmpl w:val="B6508E44"/>
    <w:lvl w:ilvl="0" w:tplc="459E457A">
      <w:numFmt w:val="bullet"/>
      <w:lvlText w:val="-"/>
      <w:lvlJc w:val="left"/>
      <w:pPr>
        <w:ind w:left="720" w:hanging="360"/>
      </w:pPr>
      <w:rPr>
        <w:rFonts w:ascii="Calibri" w:eastAsiaTheme="minorHAnsi"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371BA9"/>
    <w:multiLevelType w:val="hybridMultilevel"/>
    <w:tmpl w:val="A7BC6B1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8" w15:restartNumberingAfterBreak="0">
    <w:nsid w:val="61CF1CCA"/>
    <w:multiLevelType w:val="singleLevel"/>
    <w:tmpl w:val="F2380E04"/>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5AC5679"/>
    <w:multiLevelType w:val="singleLevel"/>
    <w:tmpl w:val="040C000F"/>
    <w:lvl w:ilvl="0">
      <w:start w:val="1"/>
      <w:numFmt w:val="decimal"/>
      <w:lvlText w:val="%1."/>
      <w:lvlJc w:val="left"/>
      <w:pPr>
        <w:tabs>
          <w:tab w:val="num" w:pos="360"/>
        </w:tabs>
        <w:ind w:left="360" w:hanging="360"/>
      </w:pPr>
    </w:lvl>
  </w:abstractNum>
  <w:abstractNum w:abstractNumId="20" w15:restartNumberingAfterBreak="0">
    <w:nsid w:val="67D7785D"/>
    <w:multiLevelType w:val="hybridMultilevel"/>
    <w:tmpl w:val="AD60C94E"/>
    <w:lvl w:ilvl="0" w:tplc="7A3E321C">
      <w:start w:val="6"/>
      <w:numFmt w:val="bullet"/>
      <w:lvlText w:val="-"/>
      <w:lvlJc w:val="left"/>
      <w:pPr>
        <w:tabs>
          <w:tab w:val="num" w:pos="720"/>
        </w:tabs>
        <w:ind w:left="720" w:hanging="360"/>
      </w:pPr>
      <w:rPr>
        <w:rFonts w:ascii="Comic Sans MS" w:eastAsia="Times New Roman" w:hAnsi="Comic Sans MS"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2B6148"/>
    <w:multiLevelType w:val="singleLevel"/>
    <w:tmpl w:val="9600EE98"/>
    <w:lvl w:ilvl="0">
      <w:numFmt w:val="bullet"/>
      <w:lvlText w:val="-"/>
      <w:lvlJc w:val="left"/>
      <w:pPr>
        <w:tabs>
          <w:tab w:val="num" w:pos="360"/>
        </w:tabs>
        <w:ind w:left="360" w:hanging="360"/>
      </w:pPr>
      <w:rPr>
        <w:rFonts w:ascii="Times New Roman" w:hAnsi="Times New Roman" w:cs="Times New Roman" w:hint="default"/>
      </w:rPr>
    </w:lvl>
  </w:abstractNum>
  <w:num w:numId="1">
    <w:abstractNumId w:val="2"/>
  </w:num>
  <w:num w:numId="2">
    <w:abstractNumId w:val="11"/>
  </w:num>
  <w:num w:numId="3">
    <w:abstractNumId w:val="5"/>
  </w:num>
  <w:num w:numId="4">
    <w:abstractNumId w:val="18"/>
  </w:num>
  <w:num w:numId="5">
    <w:abstractNumId w:val="9"/>
  </w:num>
  <w:num w:numId="6">
    <w:abstractNumId w:val="13"/>
  </w:num>
  <w:num w:numId="7">
    <w:abstractNumId w:val="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0"/>
  </w:num>
  <w:num w:numId="12">
    <w:abstractNumId w:val="3"/>
  </w:num>
  <w:num w:numId="13">
    <w:abstractNumId w:val="20"/>
  </w:num>
  <w:num w:numId="14">
    <w:abstractNumId w:val="15"/>
  </w:num>
  <w:num w:numId="15">
    <w:abstractNumId w:val="12"/>
  </w:num>
  <w:num w:numId="16">
    <w:abstractNumId w:val="7"/>
  </w:num>
  <w:num w:numId="17">
    <w:abstractNumId w:val="7"/>
  </w:num>
  <w:num w:numId="18">
    <w:abstractNumId w:val="10"/>
  </w:num>
  <w:num w:numId="19">
    <w:abstractNumId w:val="7"/>
  </w:num>
  <w:num w:numId="20">
    <w:abstractNumId w:val="19"/>
    <w:lvlOverride w:ilvl="0">
      <w:startOverride w:val="1"/>
    </w:lvlOverride>
  </w:num>
  <w:num w:numId="21">
    <w:abstractNumId w:val="1"/>
  </w:num>
  <w:num w:numId="22">
    <w:abstractNumId w:val="1"/>
  </w:num>
  <w:num w:numId="23">
    <w:abstractNumId w:val="16"/>
  </w:num>
  <w:num w:numId="24">
    <w:abstractNumId w:val="1"/>
    <w:lvlOverride w:ilvl="0"/>
    <w:lvlOverride w:ilvl="1"/>
    <w:lvlOverride w:ilvl="2"/>
    <w:lvlOverride w:ilvl="3"/>
    <w:lvlOverride w:ilvl="4"/>
    <w:lvlOverride w:ilvl="5"/>
    <w:lvlOverride w:ilvl="6"/>
    <w:lvlOverride w:ilvl="7"/>
    <w:lvlOverride w:ilvl="8"/>
  </w:num>
  <w:num w:numId="25">
    <w:abstractNumId w:val="7"/>
    <w:lvlOverride w:ilvl="0"/>
  </w:num>
  <w:num w:numId="26">
    <w:abstractNumId w:val="21"/>
    <w:lvlOverride w:ilvl="0"/>
  </w:num>
  <w:num w:numId="27">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E4"/>
    <w:rsid w:val="0002536C"/>
    <w:rsid w:val="000275AF"/>
    <w:rsid w:val="00080E3A"/>
    <w:rsid w:val="00093032"/>
    <w:rsid w:val="00097C9A"/>
    <w:rsid w:val="000B5673"/>
    <w:rsid w:val="000C6C3E"/>
    <w:rsid w:val="000E082D"/>
    <w:rsid w:val="000F6ED7"/>
    <w:rsid w:val="00100F11"/>
    <w:rsid w:val="001015D8"/>
    <w:rsid w:val="00104228"/>
    <w:rsid w:val="0011261D"/>
    <w:rsid w:val="00117D5F"/>
    <w:rsid w:val="00122363"/>
    <w:rsid w:val="00152689"/>
    <w:rsid w:val="001765BC"/>
    <w:rsid w:val="00182635"/>
    <w:rsid w:val="00190A9A"/>
    <w:rsid w:val="0019389F"/>
    <w:rsid w:val="0019432C"/>
    <w:rsid w:val="00194D0B"/>
    <w:rsid w:val="001C5E3C"/>
    <w:rsid w:val="001F17B4"/>
    <w:rsid w:val="001F6E40"/>
    <w:rsid w:val="00230C63"/>
    <w:rsid w:val="002334DA"/>
    <w:rsid w:val="00246BFE"/>
    <w:rsid w:val="00280289"/>
    <w:rsid w:val="00297AD5"/>
    <w:rsid w:val="002C3F44"/>
    <w:rsid w:val="002F0DE6"/>
    <w:rsid w:val="002F3A96"/>
    <w:rsid w:val="0030381B"/>
    <w:rsid w:val="00304526"/>
    <w:rsid w:val="003065CC"/>
    <w:rsid w:val="00307C45"/>
    <w:rsid w:val="00317F8C"/>
    <w:rsid w:val="003611F5"/>
    <w:rsid w:val="00362771"/>
    <w:rsid w:val="0037035C"/>
    <w:rsid w:val="00397994"/>
    <w:rsid w:val="003C0988"/>
    <w:rsid w:val="003C6A0D"/>
    <w:rsid w:val="003E2BC6"/>
    <w:rsid w:val="003F041D"/>
    <w:rsid w:val="00413A5D"/>
    <w:rsid w:val="0041745C"/>
    <w:rsid w:val="0043515E"/>
    <w:rsid w:val="004403B2"/>
    <w:rsid w:val="004730A8"/>
    <w:rsid w:val="00477EDD"/>
    <w:rsid w:val="00484D41"/>
    <w:rsid w:val="0048539A"/>
    <w:rsid w:val="004B757B"/>
    <w:rsid w:val="004D7B39"/>
    <w:rsid w:val="0050521C"/>
    <w:rsid w:val="00515352"/>
    <w:rsid w:val="00527B79"/>
    <w:rsid w:val="005313E4"/>
    <w:rsid w:val="005314B2"/>
    <w:rsid w:val="00541883"/>
    <w:rsid w:val="00547445"/>
    <w:rsid w:val="00551AE2"/>
    <w:rsid w:val="00560971"/>
    <w:rsid w:val="0056437A"/>
    <w:rsid w:val="00567CDC"/>
    <w:rsid w:val="00591BA6"/>
    <w:rsid w:val="0059253B"/>
    <w:rsid w:val="005A613E"/>
    <w:rsid w:val="005F064E"/>
    <w:rsid w:val="005F41D9"/>
    <w:rsid w:val="005F7CA7"/>
    <w:rsid w:val="00605AC8"/>
    <w:rsid w:val="00613668"/>
    <w:rsid w:val="00622A1A"/>
    <w:rsid w:val="00623B71"/>
    <w:rsid w:val="00646F7C"/>
    <w:rsid w:val="00653678"/>
    <w:rsid w:val="00661B2D"/>
    <w:rsid w:val="00667429"/>
    <w:rsid w:val="00671308"/>
    <w:rsid w:val="00682BA2"/>
    <w:rsid w:val="006869E4"/>
    <w:rsid w:val="00692194"/>
    <w:rsid w:val="00697E20"/>
    <w:rsid w:val="006F3721"/>
    <w:rsid w:val="006F54ED"/>
    <w:rsid w:val="00703190"/>
    <w:rsid w:val="00712A04"/>
    <w:rsid w:val="0072662A"/>
    <w:rsid w:val="00732546"/>
    <w:rsid w:val="007509F2"/>
    <w:rsid w:val="00774DDF"/>
    <w:rsid w:val="007841E4"/>
    <w:rsid w:val="00794FFC"/>
    <w:rsid w:val="007B2793"/>
    <w:rsid w:val="00823546"/>
    <w:rsid w:val="00826646"/>
    <w:rsid w:val="00851666"/>
    <w:rsid w:val="0085265A"/>
    <w:rsid w:val="00863791"/>
    <w:rsid w:val="008671B3"/>
    <w:rsid w:val="0087797B"/>
    <w:rsid w:val="008806EB"/>
    <w:rsid w:val="008A4B1D"/>
    <w:rsid w:val="008E3D9D"/>
    <w:rsid w:val="008E50B2"/>
    <w:rsid w:val="009048E8"/>
    <w:rsid w:val="0090496C"/>
    <w:rsid w:val="009110BE"/>
    <w:rsid w:val="009E66CD"/>
    <w:rsid w:val="00A00A37"/>
    <w:rsid w:val="00A0390E"/>
    <w:rsid w:val="00A44B0B"/>
    <w:rsid w:val="00A92577"/>
    <w:rsid w:val="00A96BF7"/>
    <w:rsid w:val="00AA3408"/>
    <w:rsid w:val="00AB18F5"/>
    <w:rsid w:val="00AB4ECD"/>
    <w:rsid w:val="00AC77DD"/>
    <w:rsid w:val="00AD78BD"/>
    <w:rsid w:val="00AE697B"/>
    <w:rsid w:val="00AF112E"/>
    <w:rsid w:val="00B20E65"/>
    <w:rsid w:val="00B27A85"/>
    <w:rsid w:val="00B53919"/>
    <w:rsid w:val="00BB1816"/>
    <w:rsid w:val="00C05D71"/>
    <w:rsid w:val="00C370EE"/>
    <w:rsid w:val="00C41E0D"/>
    <w:rsid w:val="00C520C3"/>
    <w:rsid w:val="00C9667A"/>
    <w:rsid w:val="00C97E99"/>
    <w:rsid w:val="00CE6F19"/>
    <w:rsid w:val="00D17832"/>
    <w:rsid w:val="00D32D7D"/>
    <w:rsid w:val="00D436FE"/>
    <w:rsid w:val="00D45A15"/>
    <w:rsid w:val="00D52F0A"/>
    <w:rsid w:val="00D558EF"/>
    <w:rsid w:val="00D60C14"/>
    <w:rsid w:val="00D655D9"/>
    <w:rsid w:val="00D75710"/>
    <w:rsid w:val="00D80916"/>
    <w:rsid w:val="00D92BB0"/>
    <w:rsid w:val="00DA224D"/>
    <w:rsid w:val="00DC5F61"/>
    <w:rsid w:val="00DC71B3"/>
    <w:rsid w:val="00E12FD2"/>
    <w:rsid w:val="00E22687"/>
    <w:rsid w:val="00E24508"/>
    <w:rsid w:val="00E2795D"/>
    <w:rsid w:val="00E45CF9"/>
    <w:rsid w:val="00E66F72"/>
    <w:rsid w:val="00E964A8"/>
    <w:rsid w:val="00EA089A"/>
    <w:rsid w:val="00EB20EF"/>
    <w:rsid w:val="00ED720B"/>
    <w:rsid w:val="00EE1C70"/>
    <w:rsid w:val="00EE6E1B"/>
    <w:rsid w:val="00F07A2F"/>
    <w:rsid w:val="00F171F0"/>
    <w:rsid w:val="00F275E1"/>
    <w:rsid w:val="00F3136A"/>
    <w:rsid w:val="00F47D8E"/>
    <w:rsid w:val="00F918D9"/>
    <w:rsid w:val="00F91EEC"/>
    <w:rsid w:val="00F95A55"/>
    <w:rsid w:val="00FA461A"/>
    <w:rsid w:val="00FA743F"/>
    <w:rsid w:val="00FB123F"/>
    <w:rsid w:val="00FC34CC"/>
    <w:rsid w:val="00FE04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E822C-0F8F-4504-85AD-4774F37B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CD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3">
    <w:name w:val="bodytext3"/>
    <w:basedOn w:val="Normal"/>
    <w:rsid w:val="005313E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dytext2">
    <w:name w:val="bodytext2"/>
    <w:basedOn w:val="Normal"/>
    <w:rsid w:val="005313E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97E99"/>
    <w:rPr>
      <w:b/>
      <w:bCs/>
    </w:rPr>
  </w:style>
  <w:style w:type="paragraph" w:styleId="Paragraphedeliste">
    <w:name w:val="List Paragraph"/>
    <w:basedOn w:val="Normal"/>
    <w:uiPriority w:val="34"/>
    <w:qFormat/>
    <w:rsid w:val="00C97E99"/>
    <w:pPr>
      <w:ind w:left="720"/>
      <w:contextualSpacing/>
    </w:pPr>
  </w:style>
  <w:style w:type="paragraph" w:styleId="Textedebulles">
    <w:name w:val="Balloon Text"/>
    <w:basedOn w:val="Normal"/>
    <w:link w:val="TextedebullesCar"/>
    <w:uiPriority w:val="99"/>
    <w:semiHidden/>
    <w:unhideWhenUsed/>
    <w:rsid w:val="006869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69E4"/>
    <w:rPr>
      <w:rFonts w:ascii="Tahoma" w:hAnsi="Tahoma" w:cs="Tahoma"/>
      <w:sz w:val="16"/>
      <w:szCs w:val="16"/>
    </w:rPr>
  </w:style>
  <w:style w:type="character" w:styleId="Accentuation">
    <w:name w:val="Emphasis"/>
    <w:basedOn w:val="Policepardfaut"/>
    <w:uiPriority w:val="20"/>
    <w:qFormat/>
    <w:rsid w:val="00591BA6"/>
    <w:rPr>
      <w:i/>
      <w:iCs/>
    </w:rPr>
  </w:style>
  <w:style w:type="character" w:styleId="Marquedecommentaire">
    <w:name w:val="annotation reference"/>
    <w:basedOn w:val="Policepardfaut"/>
    <w:uiPriority w:val="99"/>
    <w:semiHidden/>
    <w:unhideWhenUsed/>
    <w:rsid w:val="00D32D7D"/>
    <w:rPr>
      <w:sz w:val="16"/>
      <w:szCs w:val="16"/>
    </w:rPr>
  </w:style>
  <w:style w:type="paragraph" w:styleId="Commentaire">
    <w:name w:val="annotation text"/>
    <w:basedOn w:val="Normal"/>
    <w:link w:val="CommentaireCar"/>
    <w:uiPriority w:val="99"/>
    <w:semiHidden/>
    <w:unhideWhenUsed/>
    <w:rsid w:val="00D32D7D"/>
    <w:pPr>
      <w:spacing w:line="240" w:lineRule="auto"/>
    </w:pPr>
    <w:rPr>
      <w:sz w:val="20"/>
      <w:szCs w:val="20"/>
    </w:rPr>
  </w:style>
  <w:style w:type="character" w:customStyle="1" w:styleId="CommentaireCar">
    <w:name w:val="Commentaire Car"/>
    <w:basedOn w:val="Policepardfaut"/>
    <w:link w:val="Commentaire"/>
    <w:uiPriority w:val="99"/>
    <w:semiHidden/>
    <w:rsid w:val="00D32D7D"/>
    <w:rPr>
      <w:sz w:val="20"/>
      <w:szCs w:val="20"/>
    </w:rPr>
  </w:style>
  <w:style w:type="paragraph" w:styleId="Objetducommentaire">
    <w:name w:val="annotation subject"/>
    <w:basedOn w:val="Commentaire"/>
    <w:next w:val="Commentaire"/>
    <w:link w:val="ObjetducommentaireCar"/>
    <w:uiPriority w:val="99"/>
    <w:semiHidden/>
    <w:unhideWhenUsed/>
    <w:rsid w:val="00D32D7D"/>
    <w:rPr>
      <w:b/>
      <w:bCs/>
    </w:rPr>
  </w:style>
  <w:style w:type="character" w:customStyle="1" w:styleId="ObjetducommentaireCar">
    <w:name w:val="Objet du commentaire Car"/>
    <w:basedOn w:val="CommentaireCar"/>
    <w:link w:val="Objetducommentaire"/>
    <w:uiPriority w:val="99"/>
    <w:semiHidden/>
    <w:rsid w:val="00D32D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1827">
      <w:bodyDiv w:val="1"/>
      <w:marLeft w:val="0"/>
      <w:marRight w:val="0"/>
      <w:marTop w:val="0"/>
      <w:marBottom w:val="0"/>
      <w:divBdr>
        <w:top w:val="none" w:sz="0" w:space="0" w:color="auto"/>
        <w:left w:val="none" w:sz="0" w:space="0" w:color="auto"/>
        <w:bottom w:val="none" w:sz="0" w:space="0" w:color="auto"/>
        <w:right w:val="none" w:sz="0" w:space="0" w:color="auto"/>
      </w:divBdr>
    </w:div>
    <w:div w:id="343672060">
      <w:bodyDiv w:val="1"/>
      <w:marLeft w:val="0"/>
      <w:marRight w:val="0"/>
      <w:marTop w:val="0"/>
      <w:marBottom w:val="0"/>
      <w:divBdr>
        <w:top w:val="none" w:sz="0" w:space="0" w:color="auto"/>
        <w:left w:val="none" w:sz="0" w:space="0" w:color="auto"/>
        <w:bottom w:val="none" w:sz="0" w:space="0" w:color="auto"/>
        <w:right w:val="none" w:sz="0" w:space="0" w:color="auto"/>
      </w:divBdr>
      <w:divsChild>
        <w:div w:id="247082802">
          <w:marLeft w:val="0"/>
          <w:marRight w:val="0"/>
          <w:marTop w:val="0"/>
          <w:marBottom w:val="0"/>
          <w:divBdr>
            <w:top w:val="none" w:sz="0" w:space="0" w:color="auto"/>
            <w:left w:val="none" w:sz="0" w:space="0" w:color="auto"/>
            <w:bottom w:val="none" w:sz="0" w:space="0" w:color="auto"/>
            <w:right w:val="none" w:sz="0" w:space="0" w:color="auto"/>
          </w:divBdr>
          <w:divsChild>
            <w:div w:id="1277370924">
              <w:marLeft w:val="0"/>
              <w:marRight w:val="0"/>
              <w:marTop w:val="0"/>
              <w:marBottom w:val="0"/>
              <w:divBdr>
                <w:top w:val="none" w:sz="0" w:space="0" w:color="auto"/>
                <w:left w:val="none" w:sz="0" w:space="0" w:color="auto"/>
                <w:bottom w:val="none" w:sz="0" w:space="0" w:color="auto"/>
                <w:right w:val="none" w:sz="0" w:space="0" w:color="auto"/>
              </w:divBdr>
              <w:divsChild>
                <w:div w:id="59351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92262">
      <w:bodyDiv w:val="1"/>
      <w:marLeft w:val="0"/>
      <w:marRight w:val="0"/>
      <w:marTop w:val="0"/>
      <w:marBottom w:val="0"/>
      <w:divBdr>
        <w:top w:val="none" w:sz="0" w:space="0" w:color="auto"/>
        <w:left w:val="none" w:sz="0" w:space="0" w:color="auto"/>
        <w:bottom w:val="none" w:sz="0" w:space="0" w:color="auto"/>
        <w:right w:val="none" w:sz="0" w:space="0" w:color="auto"/>
      </w:divBdr>
    </w:div>
    <w:div w:id="551162153">
      <w:bodyDiv w:val="1"/>
      <w:marLeft w:val="0"/>
      <w:marRight w:val="0"/>
      <w:marTop w:val="0"/>
      <w:marBottom w:val="0"/>
      <w:divBdr>
        <w:top w:val="none" w:sz="0" w:space="0" w:color="auto"/>
        <w:left w:val="none" w:sz="0" w:space="0" w:color="auto"/>
        <w:bottom w:val="none" w:sz="0" w:space="0" w:color="auto"/>
        <w:right w:val="none" w:sz="0" w:space="0" w:color="auto"/>
      </w:divBdr>
    </w:div>
    <w:div w:id="627784463">
      <w:bodyDiv w:val="1"/>
      <w:marLeft w:val="0"/>
      <w:marRight w:val="0"/>
      <w:marTop w:val="0"/>
      <w:marBottom w:val="0"/>
      <w:divBdr>
        <w:top w:val="none" w:sz="0" w:space="0" w:color="auto"/>
        <w:left w:val="none" w:sz="0" w:space="0" w:color="auto"/>
        <w:bottom w:val="none" w:sz="0" w:space="0" w:color="auto"/>
        <w:right w:val="none" w:sz="0" w:space="0" w:color="auto"/>
      </w:divBdr>
    </w:div>
    <w:div w:id="745735314">
      <w:bodyDiv w:val="1"/>
      <w:marLeft w:val="0"/>
      <w:marRight w:val="0"/>
      <w:marTop w:val="0"/>
      <w:marBottom w:val="0"/>
      <w:divBdr>
        <w:top w:val="none" w:sz="0" w:space="0" w:color="auto"/>
        <w:left w:val="none" w:sz="0" w:space="0" w:color="auto"/>
        <w:bottom w:val="none" w:sz="0" w:space="0" w:color="auto"/>
        <w:right w:val="none" w:sz="0" w:space="0" w:color="auto"/>
      </w:divBdr>
    </w:div>
    <w:div w:id="1043091583">
      <w:bodyDiv w:val="1"/>
      <w:marLeft w:val="0"/>
      <w:marRight w:val="0"/>
      <w:marTop w:val="0"/>
      <w:marBottom w:val="0"/>
      <w:divBdr>
        <w:top w:val="none" w:sz="0" w:space="0" w:color="auto"/>
        <w:left w:val="none" w:sz="0" w:space="0" w:color="auto"/>
        <w:bottom w:val="none" w:sz="0" w:space="0" w:color="auto"/>
        <w:right w:val="none" w:sz="0" w:space="0" w:color="auto"/>
      </w:divBdr>
    </w:div>
    <w:div w:id="1093935288">
      <w:bodyDiv w:val="1"/>
      <w:marLeft w:val="0"/>
      <w:marRight w:val="0"/>
      <w:marTop w:val="0"/>
      <w:marBottom w:val="0"/>
      <w:divBdr>
        <w:top w:val="none" w:sz="0" w:space="0" w:color="auto"/>
        <w:left w:val="none" w:sz="0" w:space="0" w:color="auto"/>
        <w:bottom w:val="none" w:sz="0" w:space="0" w:color="auto"/>
        <w:right w:val="none" w:sz="0" w:space="0" w:color="auto"/>
      </w:divBdr>
    </w:div>
    <w:div w:id="1350177567">
      <w:bodyDiv w:val="1"/>
      <w:marLeft w:val="0"/>
      <w:marRight w:val="0"/>
      <w:marTop w:val="0"/>
      <w:marBottom w:val="0"/>
      <w:divBdr>
        <w:top w:val="none" w:sz="0" w:space="0" w:color="auto"/>
        <w:left w:val="none" w:sz="0" w:space="0" w:color="auto"/>
        <w:bottom w:val="none" w:sz="0" w:space="0" w:color="auto"/>
        <w:right w:val="none" w:sz="0" w:space="0" w:color="auto"/>
      </w:divBdr>
    </w:div>
    <w:div w:id="1419519272">
      <w:bodyDiv w:val="1"/>
      <w:marLeft w:val="0"/>
      <w:marRight w:val="0"/>
      <w:marTop w:val="0"/>
      <w:marBottom w:val="0"/>
      <w:divBdr>
        <w:top w:val="none" w:sz="0" w:space="0" w:color="auto"/>
        <w:left w:val="none" w:sz="0" w:space="0" w:color="auto"/>
        <w:bottom w:val="none" w:sz="0" w:space="0" w:color="auto"/>
        <w:right w:val="none" w:sz="0" w:space="0" w:color="auto"/>
      </w:divBdr>
    </w:div>
    <w:div w:id="1745714347">
      <w:bodyDiv w:val="1"/>
      <w:marLeft w:val="0"/>
      <w:marRight w:val="0"/>
      <w:marTop w:val="0"/>
      <w:marBottom w:val="0"/>
      <w:divBdr>
        <w:top w:val="none" w:sz="0" w:space="0" w:color="auto"/>
        <w:left w:val="none" w:sz="0" w:space="0" w:color="auto"/>
        <w:bottom w:val="none" w:sz="0" w:space="0" w:color="auto"/>
        <w:right w:val="none" w:sz="0" w:space="0" w:color="auto"/>
      </w:divBdr>
    </w:div>
    <w:div w:id="1794447840">
      <w:bodyDiv w:val="1"/>
      <w:marLeft w:val="0"/>
      <w:marRight w:val="0"/>
      <w:marTop w:val="0"/>
      <w:marBottom w:val="0"/>
      <w:divBdr>
        <w:top w:val="none" w:sz="0" w:space="0" w:color="auto"/>
        <w:left w:val="none" w:sz="0" w:space="0" w:color="auto"/>
        <w:bottom w:val="none" w:sz="0" w:space="0" w:color="auto"/>
        <w:right w:val="none" w:sz="0" w:space="0" w:color="auto"/>
      </w:divBdr>
    </w:div>
    <w:div w:id="1955747238">
      <w:bodyDiv w:val="1"/>
      <w:marLeft w:val="0"/>
      <w:marRight w:val="0"/>
      <w:marTop w:val="0"/>
      <w:marBottom w:val="0"/>
      <w:divBdr>
        <w:top w:val="none" w:sz="0" w:space="0" w:color="auto"/>
        <w:left w:val="none" w:sz="0" w:space="0" w:color="auto"/>
        <w:bottom w:val="none" w:sz="0" w:space="0" w:color="auto"/>
        <w:right w:val="none" w:sz="0" w:space="0" w:color="auto"/>
      </w:divBdr>
    </w:div>
    <w:div w:id="1986350605">
      <w:bodyDiv w:val="1"/>
      <w:marLeft w:val="0"/>
      <w:marRight w:val="0"/>
      <w:marTop w:val="0"/>
      <w:marBottom w:val="0"/>
      <w:divBdr>
        <w:top w:val="none" w:sz="0" w:space="0" w:color="auto"/>
        <w:left w:val="none" w:sz="0" w:space="0" w:color="auto"/>
        <w:bottom w:val="none" w:sz="0" w:space="0" w:color="auto"/>
        <w:right w:val="none" w:sz="0" w:space="0" w:color="auto"/>
      </w:divBdr>
    </w:div>
    <w:div w:id="2053537104">
      <w:bodyDiv w:val="1"/>
      <w:marLeft w:val="0"/>
      <w:marRight w:val="0"/>
      <w:marTop w:val="0"/>
      <w:marBottom w:val="0"/>
      <w:divBdr>
        <w:top w:val="none" w:sz="0" w:space="0" w:color="auto"/>
        <w:left w:val="none" w:sz="0" w:space="0" w:color="auto"/>
        <w:bottom w:val="none" w:sz="0" w:space="0" w:color="auto"/>
        <w:right w:val="none" w:sz="0" w:space="0" w:color="auto"/>
      </w:divBdr>
      <w:divsChild>
        <w:div w:id="1193112133">
          <w:marLeft w:val="0"/>
          <w:marRight w:val="0"/>
          <w:marTop w:val="0"/>
          <w:marBottom w:val="0"/>
          <w:divBdr>
            <w:top w:val="none" w:sz="0" w:space="0" w:color="auto"/>
            <w:left w:val="none" w:sz="0" w:space="0" w:color="auto"/>
            <w:bottom w:val="none" w:sz="0" w:space="0" w:color="auto"/>
            <w:right w:val="none" w:sz="0" w:space="0" w:color="auto"/>
          </w:divBdr>
          <w:divsChild>
            <w:div w:id="1727022320">
              <w:marLeft w:val="0"/>
              <w:marRight w:val="0"/>
              <w:marTop w:val="0"/>
              <w:marBottom w:val="0"/>
              <w:divBdr>
                <w:top w:val="none" w:sz="0" w:space="0" w:color="auto"/>
                <w:left w:val="none" w:sz="0" w:space="0" w:color="auto"/>
                <w:bottom w:val="none" w:sz="0" w:space="0" w:color="auto"/>
                <w:right w:val="none" w:sz="0" w:space="0" w:color="auto"/>
              </w:divBdr>
              <w:divsChild>
                <w:div w:id="12807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9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CDBEE-29F1-46EE-B29B-49B697DF9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743</Words>
  <Characters>4092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Secretariat</cp:lastModifiedBy>
  <cp:revision>3</cp:revision>
  <cp:lastPrinted>2020-03-13T13:52:00Z</cp:lastPrinted>
  <dcterms:created xsi:type="dcterms:W3CDTF">2020-06-02T13:58:00Z</dcterms:created>
  <dcterms:modified xsi:type="dcterms:W3CDTF">2020-06-02T15:14:00Z</dcterms:modified>
</cp:coreProperties>
</file>